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F4B68" w14:textId="7C7A13F4" w:rsidR="00ED3725" w:rsidRPr="00E4069E" w:rsidRDefault="00DD751E" w:rsidP="00605300">
      <w:pPr>
        <w:rPr>
          <w:rFonts w:cs="Times New Roman"/>
          <w:b/>
          <w:sz w:val="28"/>
          <w:szCs w:val="28"/>
        </w:rPr>
      </w:pPr>
      <w:commentRangeStart w:id="0"/>
      <w:r w:rsidRPr="00A25D31">
        <w:rPr>
          <w:rFonts w:cs="Times New Roman"/>
          <w:b/>
          <w:sz w:val="28"/>
          <w:szCs w:val="28"/>
        </w:rPr>
        <w:t>The Proces</w:t>
      </w:r>
      <w:r w:rsidR="006B1333" w:rsidRPr="00A25D31">
        <w:rPr>
          <w:rFonts w:cs="Times New Roman"/>
          <w:b/>
          <w:sz w:val="28"/>
          <w:szCs w:val="28"/>
        </w:rPr>
        <w:t>s of Patient Looking:</w:t>
      </w:r>
      <w:r w:rsidR="0046195C" w:rsidRPr="00A25D31">
        <w:rPr>
          <w:rFonts w:cs="Times New Roman"/>
          <w:b/>
          <w:sz w:val="28"/>
          <w:szCs w:val="28"/>
        </w:rPr>
        <w:t xml:space="preserve"> </w:t>
      </w:r>
      <w:r w:rsidR="006B1333" w:rsidRPr="00A25D31">
        <w:rPr>
          <w:rFonts w:cs="Times New Roman"/>
          <w:b/>
          <w:sz w:val="28"/>
          <w:szCs w:val="28"/>
        </w:rPr>
        <w:t>Writi</w:t>
      </w:r>
      <w:bookmarkStart w:id="1" w:name="_GoBack"/>
      <w:bookmarkEnd w:id="1"/>
      <w:r w:rsidR="006B1333" w:rsidRPr="00A25D31">
        <w:rPr>
          <w:rFonts w:cs="Times New Roman"/>
          <w:b/>
          <w:sz w:val="28"/>
          <w:szCs w:val="28"/>
        </w:rPr>
        <w:t xml:space="preserve">ng an Interpretive </w:t>
      </w:r>
      <w:r w:rsidRPr="00A25D31">
        <w:rPr>
          <w:rFonts w:cs="Times New Roman"/>
          <w:b/>
          <w:sz w:val="28"/>
          <w:szCs w:val="28"/>
        </w:rPr>
        <w:t>Analysis of a Work of Art</w:t>
      </w:r>
      <w:commentRangeEnd w:id="0"/>
      <w:r w:rsidR="000B5632">
        <w:rPr>
          <w:rStyle w:val="CommentReference"/>
        </w:rPr>
        <w:commentReference w:id="0"/>
      </w:r>
    </w:p>
    <w:p w14:paraId="5C1F3E07" w14:textId="6FD1C2A8" w:rsidR="00C20212" w:rsidRPr="00605300" w:rsidRDefault="006F0361" w:rsidP="00A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05300">
        <w:rPr>
          <w:sz w:val="20"/>
          <w:szCs w:val="20"/>
        </w:rPr>
        <w:t>Art historian</w:t>
      </w:r>
      <w:r w:rsidR="00CD193C" w:rsidRPr="00605300">
        <w:rPr>
          <w:sz w:val="20"/>
          <w:szCs w:val="20"/>
        </w:rPr>
        <w:t xml:space="preserve"> Jennifer L. Roberts asserts that “just because you have </w:t>
      </w:r>
      <w:r w:rsidR="00CD193C" w:rsidRPr="00605300">
        <w:rPr>
          <w:i/>
          <w:sz w:val="20"/>
          <w:szCs w:val="20"/>
        </w:rPr>
        <w:t>looked</w:t>
      </w:r>
      <w:r w:rsidR="00CD193C" w:rsidRPr="00605300">
        <w:rPr>
          <w:sz w:val="20"/>
          <w:szCs w:val="20"/>
        </w:rPr>
        <w:t xml:space="preserve"> at something doesn’t mean that you have </w:t>
      </w:r>
      <w:r w:rsidR="00CD193C" w:rsidRPr="00605300">
        <w:rPr>
          <w:i/>
          <w:sz w:val="20"/>
          <w:szCs w:val="20"/>
        </w:rPr>
        <w:t>seen</w:t>
      </w:r>
      <w:r w:rsidR="00CD193C" w:rsidRPr="00605300">
        <w:rPr>
          <w:sz w:val="20"/>
          <w:szCs w:val="20"/>
        </w:rPr>
        <w:t xml:space="preserve"> it.”</w:t>
      </w:r>
      <w:r w:rsidR="004A2A91" w:rsidRPr="00605300">
        <w:rPr>
          <w:sz w:val="20"/>
          <w:szCs w:val="20"/>
        </w:rPr>
        <w:t xml:space="preserve"> In writing this essay, an interpretive analysis of a work of art, I will ask you to engage in what Roberts calls “</w:t>
      </w:r>
      <w:r w:rsidR="00CD193C" w:rsidRPr="00605300">
        <w:rPr>
          <w:sz w:val="20"/>
          <w:szCs w:val="20"/>
        </w:rPr>
        <w:t>deceleration, patience, and immersive attention”</w:t>
      </w:r>
      <w:r w:rsidR="004A2A91" w:rsidRPr="00605300">
        <w:rPr>
          <w:sz w:val="20"/>
          <w:szCs w:val="20"/>
        </w:rPr>
        <w:t xml:space="preserve"> because, as she explains, “</w:t>
      </w:r>
      <w:r w:rsidR="00CD193C" w:rsidRPr="00605300">
        <w:rPr>
          <w:sz w:val="20"/>
          <w:szCs w:val="20"/>
        </w:rPr>
        <w:t>in any work of art there are details and orders and relationships that take time to perceive.”</w:t>
      </w:r>
      <w:r w:rsidR="004A2A91" w:rsidRPr="00605300">
        <w:rPr>
          <w:rStyle w:val="FootnoteReference"/>
          <w:sz w:val="20"/>
          <w:szCs w:val="20"/>
        </w:rPr>
        <w:footnoteReference w:id="1"/>
      </w:r>
      <w:r w:rsidR="0046195C" w:rsidRPr="00605300">
        <w:rPr>
          <w:sz w:val="20"/>
          <w:szCs w:val="20"/>
        </w:rPr>
        <w:t xml:space="preserve"> We will take time in the gallery to really look at the works of art</w:t>
      </w:r>
      <w:r w:rsidR="00ED3725" w:rsidRPr="00605300">
        <w:rPr>
          <w:sz w:val="20"/>
          <w:szCs w:val="20"/>
        </w:rPr>
        <w:t xml:space="preserve"> we will write about</w:t>
      </w:r>
      <w:r w:rsidR="0046195C" w:rsidRPr="00605300">
        <w:rPr>
          <w:sz w:val="20"/>
          <w:szCs w:val="20"/>
        </w:rPr>
        <w:t xml:space="preserve"> (and I urge you to return to the gallery again in the writing process), to formulate our interpretations, and </w:t>
      </w:r>
      <w:r w:rsidR="00A11208" w:rsidRPr="00605300">
        <w:rPr>
          <w:sz w:val="20"/>
          <w:szCs w:val="20"/>
        </w:rPr>
        <w:t xml:space="preserve">to </w:t>
      </w:r>
      <w:r w:rsidR="00C20212" w:rsidRPr="00605300">
        <w:rPr>
          <w:sz w:val="20"/>
          <w:szCs w:val="20"/>
        </w:rPr>
        <w:t>write and revise what</w:t>
      </w:r>
      <w:r w:rsidR="00ED3725" w:rsidRPr="00605300">
        <w:rPr>
          <w:sz w:val="20"/>
          <w:szCs w:val="20"/>
        </w:rPr>
        <w:t xml:space="preserve"> we have </w:t>
      </w:r>
      <w:r w:rsidR="00650B58" w:rsidRPr="00605300">
        <w:rPr>
          <w:sz w:val="20"/>
          <w:szCs w:val="20"/>
        </w:rPr>
        <w:t>seen and learned</w:t>
      </w:r>
      <w:r w:rsidR="00ED3725" w:rsidRPr="00605300">
        <w:rPr>
          <w:sz w:val="20"/>
          <w:szCs w:val="20"/>
        </w:rPr>
        <w:t xml:space="preserve"> </w:t>
      </w:r>
      <w:r w:rsidR="00C20212" w:rsidRPr="00605300">
        <w:rPr>
          <w:sz w:val="20"/>
          <w:szCs w:val="20"/>
        </w:rPr>
        <w:t xml:space="preserve">from </w:t>
      </w:r>
      <w:r w:rsidR="00ED3725" w:rsidRPr="00605300">
        <w:rPr>
          <w:sz w:val="20"/>
          <w:szCs w:val="20"/>
        </w:rPr>
        <w:t xml:space="preserve">engaging in a process of patient looking. </w:t>
      </w:r>
    </w:p>
    <w:p w14:paraId="019FD2C4" w14:textId="77777777" w:rsidR="00605300" w:rsidRPr="00605300" w:rsidRDefault="00605300" w:rsidP="002C1AF6">
      <w:pPr>
        <w:rPr>
          <w:b/>
          <w:color w:val="333333"/>
          <w:sz w:val="16"/>
          <w:szCs w:val="16"/>
        </w:rPr>
      </w:pPr>
    </w:p>
    <w:p w14:paraId="2E01083E" w14:textId="423D02CD" w:rsidR="006F0361" w:rsidRPr="002C1AF6" w:rsidRDefault="00A67DEA" w:rsidP="002C1AF6">
      <w:pPr>
        <w:rPr>
          <w:rFonts w:ascii="Times New Roman" w:eastAsia="Times New Roman" w:hAnsi="Times New Roman" w:cs="Times New Roman"/>
        </w:rPr>
      </w:pPr>
      <w:r w:rsidRPr="00650B58">
        <w:rPr>
          <w:b/>
          <w:color w:val="333333"/>
          <w:sz w:val="22"/>
          <w:szCs w:val="22"/>
        </w:rPr>
        <w:t xml:space="preserve">ASSIGNMENT </w:t>
      </w:r>
      <w:r w:rsidR="006F73BE" w:rsidRPr="00650B58">
        <w:rPr>
          <w:b/>
          <w:color w:val="333333"/>
          <w:sz w:val="22"/>
          <w:szCs w:val="22"/>
        </w:rPr>
        <w:t xml:space="preserve">DESCRIPTION </w:t>
      </w:r>
      <w:r w:rsidRPr="00650B58">
        <w:rPr>
          <w:b/>
          <w:color w:val="333333"/>
          <w:sz w:val="22"/>
          <w:szCs w:val="22"/>
        </w:rPr>
        <w:t>AND GUIDELINES:</w:t>
      </w:r>
      <w:r w:rsidRPr="00650B58">
        <w:rPr>
          <w:color w:val="333333"/>
          <w:sz w:val="22"/>
          <w:szCs w:val="22"/>
        </w:rPr>
        <w:t xml:space="preserve"> </w:t>
      </w:r>
      <w:r w:rsidR="001930A8" w:rsidRPr="00650B58">
        <w:rPr>
          <w:color w:val="333333"/>
          <w:sz w:val="22"/>
          <w:szCs w:val="22"/>
        </w:rPr>
        <w:t xml:space="preserve">Write an approximately </w:t>
      </w:r>
      <w:proofErr w:type="gramStart"/>
      <w:r w:rsidR="001930A8" w:rsidRPr="00650B58">
        <w:rPr>
          <w:color w:val="333333"/>
          <w:sz w:val="22"/>
          <w:szCs w:val="22"/>
        </w:rPr>
        <w:t>1,000 word</w:t>
      </w:r>
      <w:proofErr w:type="gramEnd"/>
      <w:r w:rsidR="001930A8" w:rsidRPr="00650B58">
        <w:rPr>
          <w:color w:val="333333"/>
          <w:sz w:val="22"/>
          <w:szCs w:val="22"/>
        </w:rPr>
        <w:t xml:space="preserve"> interpretive analysis </w:t>
      </w:r>
      <w:r w:rsidR="007D6298">
        <w:rPr>
          <w:color w:val="333333"/>
          <w:sz w:val="22"/>
          <w:szCs w:val="22"/>
        </w:rPr>
        <w:t>(using</w:t>
      </w:r>
      <w:r w:rsidR="00650B58">
        <w:rPr>
          <w:color w:val="333333"/>
          <w:sz w:val="22"/>
          <w:szCs w:val="22"/>
        </w:rPr>
        <w:t xml:space="preserve"> MLA </w:t>
      </w:r>
      <w:r w:rsidR="007D6298">
        <w:rPr>
          <w:color w:val="333333"/>
          <w:sz w:val="22"/>
          <w:szCs w:val="22"/>
        </w:rPr>
        <w:t xml:space="preserve">citation and </w:t>
      </w:r>
      <w:r w:rsidR="00650B58">
        <w:rPr>
          <w:color w:val="333333"/>
          <w:sz w:val="22"/>
          <w:szCs w:val="22"/>
        </w:rPr>
        <w:t>format</w:t>
      </w:r>
      <w:r w:rsidR="007D6298">
        <w:rPr>
          <w:color w:val="333333"/>
          <w:sz w:val="22"/>
          <w:szCs w:val="22"/>
        </w:rPr>
        <w:t>ting)</w:t>
      </w:r>
      <w:r w:rsidR="00650B58">
        <w:rPr>
          <w:color w:val="333333"/>
          <w:sz w:val="22"/>
          <w:szCs w:val="22"/>
        </w:rPr>
        <w:t xml:space="preserve"> </w:t>
      </w:r>
      <w:r w:rsidR="001930A8" w:rsidRPr="00650B58">
        <w:rPr>
          <w:color w:val="333333"/>
          <w:sz w:val="22"/>
          <w:szCs w:val="22"/>
        </w:rPr>
        <w:t xml:space="preserve">of either </w:t>
      </w:r>
      <w:r w:rsidR="00FC4BDC">
        <w:rPr>
          <w:color w:val="333333"/>
          <w:sz w:val="22"/>
          <w:szCs w:val="22"/>
        </w:rPr>
        <w:t xml:space="preserve">“Payment of the Tithe,” by </w:t>
      </w:r>
      <w:r w:rsidR="00A47DA8">
        <w:rPr>
          <w:color w:val="333333"/>
          <w:sz w:val="22"/>
          <w:szCs w:val="22"/>
        </w:rPr>
        <w:t>Pieter</w:t>
      </w:r>
      <w:r w:rsidR="00FC4BDC">
        <w:rPr>
          <w:color w:val="333333"/>
          <w:sz w:val="22"/>
          <w:szCs w:val="22"/>
        </w:rPr>
        <w:t xml:space="preserve"> Brueghel, the Younger (ca. 1616) or “</w:t>
      </w:r>
      <w:r w:rsidR="002C1AF6">
        <w:rPr>
          <w:color w:val="333333"/>
          <w:sz w:val="22"/>
          <w:szCs w:val="22"/>
        </w:rPr>
        <w:t xml:space="preserve">$$$ American </w:t>
      </w:r>
      <w:proofErr w:type="spellStart"/>
      <w:r w:rsidR="002C1AF6">
        <w:rPr>
          <w:color w:val="333333"/>
          <w:sz w:val="22"/>
          <w:szCs w:val="22"/>
        </w:rPr>
        <w:t>G</w:t>
      </w:r>
      <w:r w:rsidR="002C1AF6">
        <w:rPr>
          <w:rFonts w:ascii="Calibri" w:hAnsi="Calibri"/>
          <w:color w:val="333333"/>
          <w:sz w:val="22"/>
          <w:szCs w:val="22"/>
        </w:rPr>
        <w:t>ü</w:t>
      </w:r>
      <w:r w:rsidR="002C1AF6">
        <w:rPr>
          <w:color w:val="333333"/>
          <w:sz w:val="22"/>
          <w:szCs w:val="22"/>
        </w:rPr>
        <w:t>ey</w:t>
      </w:r>
      <w:proofErr w:type="spellEnd"/>
      <w:r w:rsidR="00FC4BDC">
        <w:rPr>
          <w:color w:val="333333"/>
          <w:sz w:val="22"/>
          <w:szCs w:val="22"/>
        </w:rPr>
        <w:t xml:space="preserve"> of Life” by Xavier Cortez (1992).</w:t>
      </w:r>
    </w:p>
    <w:p w14:paraId="1F8B1372" w14:textId="77777777" w:rsidR="00B76069" w:rsidRPr="00E4069E" w:rsidRDefault="00B76069" w:rsidP="001930A8">
      <w:pPr>
        <w:pStyle w:val="NormalWeb"/>
        <w:spacing w:before="0" w:beforeAutospacing="0" w:after="0" w:afterAutospacing="0"/>
        <w:rPr>
          <w:rFonts w:asciiTheme="minorHAnsi" w:eastAsia="Times New Roman" w:hAnsiTheme="minorHAnsi"/>
          <w:color w:val="333333"/>
          <w:sz w:val="16"/>
          <w:szCs w:val="16"/>
          <w:shd w:val="clear" w:color="auto" w:fill="FFFFFF"/>
        </w:rPr>
      </w:pPr>
    </w:p>
    <w:p w14:paraId="5A7EB9F8" w14:textId="426998FA" w:rsidR="00B76069" w:rsidRPr="00605300" w:rsidRDefault="001930A8" w:rsidP="00605300">
      <w:pPr>
        <w:pStyle w:val="ListParagraph"/>
        <w:numPr>
          <w:ilvl w:val="0"/>
          <w:numId w:val="2"/>
        </w:numPr>
        <w:rPr>
          <w:rFonts w:eastAsia="Times New Roman" w:cs="Times New Roman"/>
          <w:sz w:val="22"/>
          <w:szCs w:val="22"/>
        </w:rPr>
      </w:pPr>
      <w:r w:rsidRPr="00650B58">
        <w:rPr>
          <w:rFonts w:eastAsia="Times New Roman" w:cs="Times New Roman"/>
          <w:b/>
          <w:color w:val="333333"/>
          <w:sz w:val="22"/>
          <w:szCs w:val="22"/>
          <w:shd w:val="clear" w:color="auto" w:fill="FFFFFF"/>
        </w:rPr>
        <w:t>Your essay should reflect that you have spent significant time in the presence of and engaging with the original work of art</w:t>
      </w:r>
      <w:r w:rsidRPr="00650B58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, evidenced by detailed description of the work of art throughout your essay. </w:t>
      </w:r>
    </w:p>
    <w:p w14:paraId="21AFFAF3" w14:textId="77777777" w:rsidR="00605300" w:rsidRPr="00605300" w:rsidRDefault="00605300" w:rsidP="00605300">
      <w:pPr>
        <w:pStyle w:val="ListParagraph"/>
        <w:rPr>
          <w:rFonts w:eastAsia="Times New Roman" w:cs="Times New Roman"/>
          <w:sz w:val="22"/>
          <w:szCs w:val="22"/>
        </w:rPr>
      </w:pPr>
    </w:p>
    <w:p w14:paraId="58EC012B" w14:textId="6D533B1B" w:rsidR="00B76069" w:rsidRPr="00605300" w:rsidRDefault="006F0361" w:rsidP="00B76069">
      <w:pPr>
        <w:pStyle w:val="ListParagraph"/>
        <w:numPr>
          <w:ilvl w:val="0"/>
          <w:numId w:val="2"/>
        </w:numPr>
        <w:rPr>
          <w:rFonts w:eastAsia="Times New Roman" w:cs="Times New Roman"/>
          <w:sz w:val="22"/>
          <w:szCs w:val="22"/>
        </w:rPr>
      </w:pPr>
      <w:r w:rsidRPr="00650B58">
        <w:rPr>
          <w:rFonts w:eastAsia="Times New Roman" w:cs="Times New Roman"/>
          <w:b/>
          <w:color w:val="333333"/>
          <w:sz w:val="22"/>
          <w:szCs w:val="22"/>
        </w:rPr>
        <w:t xml:space="preserve">Your essay should offer </w:t>
      </w:r>
      <w:r w:rsidR="00B76069" w:rsidRPr="00650B58">
        <w:rPr>
          <w:rFonts w:eastAsia="Times New Roman" w:cs="Times New Roman"/>
          <w:b/>
          <w:color w:val="333333"/>
          <w:sz w:val="22"/>
          <w:szCs w:val="22"/>
        </w:rPr>
        <w:t xml:space="preserve">an </w:t>
      </w:r>
      <w:r w:rsidR="007D6298">
        <w:rPr>
          <w:rFonts w:eastAsia="Times New Roman" w:cs="Times New Roman"/>
          <w:b/>
          <w:color w:val="333333"/>
          <w:sz w:val="22"/>
          <w:szCs w:val="22"/>
        </w:rPr>
        <w:t xml:space="preserve">insightful, </w:t>
      </w:r>
      <w:r w:rsidR="00B76069" w:rsidRPr="00650B58">
        <w:rPr>
          <w:rFonts w:eastAsia="Times New Roman" w:cs="Times New Roman"/>
          <w:b/>
          <w:color w:val="333333"/>
          <w:sz w:val="22"/>
          <w:szCs w:val="22"/>
        </w:rPr>
        <w:t>interpretive claim</w:t>
      </w:r>
      <w:r w:rsidRPr="00650B58">
        <w:rPr>
          <w:rFonts w:eastAsia="Times New Roman" w:cs="Times New Roman"/>
          <w:b/>
          <w:color w:val="333333"/>
          <w:sz w:val="22"/>
          <w:szCs w:val="22"/>
        </w:rPr>
        <w:t xml:space="preserve"> </w:t>
      </w:r>
      <w:r w:rsidR="00B76069" w:rsidRPr="00650B58">
        <w:rPr>
          <w:rFonts w:eastAsia="Times New Roman" w:cs="Times New Roman"/>
          <w:b/>
          <w:color w:val="333333"/>
          <w:sz w:val="22"/>
          <w:szCs w:val="22"/>
        </w:rPr>
        <w:t>about the work of art</w:t>
      </w:r>
      <w:r w:rsidRPr="00650B58">
        <w:rPr>
          <w:rFonts w:eastAsia="Times New Roman" w:cs="Times New Roman"/>
          <w:b/>
          <w:color w:val="333333"/>
          <w:sz w:val="22"/>
          <w:szCs w:val="22"/>
        </w:rPr>
        <w:t xml:space="preserve"> based on </w:t>
      </w:r>
      <w:r w:rsidR="00B76069" w:rsidRPr="00650B58">
        <w:rPr>
          <w:rFonts w:eastAsia="Times New Roman" w:cs="Times New Roman"/>
          <w:b/>
          <w:color w:val="333333"/>
          <w:sz w:val="22"/>
          <w:szCs w:val="22"/>
        </w:rPr>
        <w:t xml:space="preserve">your </w:t>
      </w:r>
      <w:r w:rsidRPr="00650B58">
        <w:rPr>
          <w:rFonts w:eastAsia="Times New Roman" w:cs="Times New Roman"/>
          <w:b/>
          <w:color w:val="333333"/>
          <w:sz w:val="22"/>
          <w:szCs w:val="22"/>
        </w:rPr>
        <w:t>observation and analysis.</w:t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 This interpretation need not be art historical, but aspects or details of the work of art should be used to support key written ideas.</w:t>
      </w:r>
      <w:r w:rsidRPr="00650B58">
        <w:rPr>
          <w:rStyle w:val="FootnoteReference"/>
          <w:rFonts w:eastAsia="Times New Roman" w:cs="Times New Roman"/>
          <w:color w:val="333333"/>
          <w:sz w:val="22"/>
          <w:szCs w:val="22"/>
        </w:rPr>
        <w:footnoteReference w:id="2"/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 In other words, you don’t need to be an art history major to write a good </w:t>
      </w:r>
      <w:r w:rsidR="007D6298">
        <w:rPr>
          <w:rFonts w:eastAsia="Times New Roman" w:cs="Times New Roman"/>
          <w:color w:val="333333"/>
          <w:sz w:val="22"/>
          <w:szCs w:val="22"/>
        </w:rPr>
        <w:t xml:space="preserve">interpretive </w:t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analysis, but you must ground all of your claims in observable details and descriptions. </w:t>
      </w:r>
    </w:p>
    <w:p w14:paraId="6C1452CD" w14:textId="77777777" w:rsidR="00605300" w:rsidRPr="00605300" w:rsidRDefault="00605300" w:rsidP="00605300">
      <w:pPr>
        <w:pStyle w:val="ListParagraph"/>
        <w:rPr>
          <w:rFonts w:eastAsia="Times New Roman" w:cs="Times New Roman"/>
          <w:sz w:val="22"/>
          <w:szCs w:val="22"/>
        </w:rPr>
      </w:pPr>
    </w:p>
    <w:p w14:paraId="4BDC5AD8" w14:textId="41C8D73A" w:rsidR="006F0361" w:rsidRPr="00650B58" w:rsidRDefault="006F0361" w:rsidP="006F0361">
      <w:pPr>
        <w:pStyle w:val="ListParagraph"/>
        <w:numPr>
          <w:ilvl w:val="0"/>
          <w:numId w:val="2"/>
        </w:numPr>
        <w:rPr>
          <w:rFonts w:eastAsia="Times New Roman" w:cs="Times New Roman"/>
          <w:sz w:val="22"/>
          <w:szCs w:val="22"/>
        </w:rPr>
      </w:pPr>
      <w:r w:rsidRPr="00650B58">
        <w:rPr>
          <w:rFonts w:eastAsia="Times New Roman" w:cs="Times New Roman"/>
          <w:b/>
          <w:color w:val="333333"/>
          <w:sz w:val="22"/>
          <w:szCs w:val="22"/>
        </w:rPr>
        <w:t>Your essay should be guided by a thesis that comes about from your process of patient looking.</w:t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 So, for example, you might play around with one of the following structures: </w:t>
      </w:r>
    </w:p>
    <w:p w14:paraId="5188B3AE" w14:textId="77777777" w:rsidR="00605300" w:rsidRDefault="00605300" w:rsidP="00605300">
      <w:pPr>
        <w:ind w:left="720"/>
        <w:rPr>
          <w:rFonts w:eastAsia="Times New Roman" w:cs="Times New Roman"/>
          <w:color w:val="333333"/>
          <w:sz w:val="16"/>
          <w:szCs w:val="16"/>
        </w:rPr>
      </w:pPr>
    </w:p>
    <w:p w14:paraId="216C5CE6" w14:textId="40ED3915" w:rsidR="006F0361" w:rsidRPr="00605300" w:rsidRDefault="006F0361" w:rsidP="00605300">
      <w:pPr>
        <w:ind w:left="720"/>
        <w:rPr>
          <w:rFonts w:eastAsia="Times New Roman" w:cs="Times New Roman"/>
          <w:color w:val="333333"/>
          <w:sz w:val="22"/>
          <w:szCs w:val="22"/>
        </w:rPr>
      </w:pPr>
      <w:r w:rsidRPr="00605300">
        <w:rPr>
          <w:rFonts w:eastAsia="Times New Roman" w:cs="Times New Roman"/>
          <w:color w:val="333333"/>
          <w:sz w:val="22"/>
          <w:szCs w:val="22"/>
        </w:rPr>
        <w:t xml:space="preserve">At first it may seem that </w:t>
      </w:r>
      <w:r w:rsidR="002C1AF6" w:rsidRPr="00605300">
        <w:rPr>
          <w:color w:val="333333"/>
          <w:sz w:val="22"/>
          <w:szCs w:val="22"/>
        </w:rPr>
        <w:t xml:space="preserve">“$$$ American </w:t>
      </w:r>
      <w:proofErr w:type="spellStart"/>
      <w:r w:rsidR="002C1AF6" w:rsidRPr="00605300">
        <w:rPr>
          <w:color w:val="333333"/>
          <w:sz w:val="22"/>
          <w:szCs w:val="22"/>
        </w:rPr>
        <w:t>G</w:t>
      </w:r>
      <w:r w:rsidR="002C1AF6" w:rsidRPr="00605300">
        <w:rPr>
          <w:rFonts w:ascii="Calibri" w:hAnsi="Calibri"/>
          <w:color w:val="333333"/>
          <w:sz w:val="22"/>
          <w:szCs w:val="22"/>
        </w:rPr>
        <w:t>ü</w:t>
      </w:r>
      <w:r w:rsidR="002C1AF6" w:rsidRPr="00605300">
        <w:rPr>
          <w:color w:val="333333"/>
          <w:sz w:val="22"/>
          <w:szCs w:val="22"/>
        </w:rPr>
        <w:t>ey</w:t>
      </w:r>
      <w:proofErr w:type="spellEnd"/>
      <w:r w:rsidR="002C1AF6" w:rsidRPr="00605300">
        <w:rPr>
          <w:color w:val="333333"/>
          <w:sz w:val="22"/>
          <w:szCs w:val="22"/>
        </w:rPr>
        <w:t xml:space="preserve"> of Life” </w:t>
      </w:r>
      <w:r w:rsidRPr="00605300">
        <w:rPr>
          <w:rFonts w:eastAsia="Times New Roman" w:cs="Times New Roman"/>
          <w:color w:val="333333"/>
          <w:sz w:val="22"/>
          <w:szCs w:val="22"/>
        </w:rPr>
        <w:t xml:space="preserve">by artist </w:t>
      </w:r>
      <w:r w:rsidR="002C1AF6" w:rsidRPr="00605300">
        <w:rPr>
          <w:rFonts w:eastAsia="Times New Roman" w:cs="Times New Roman"/>
          <w:color w:val="333333"/>
          <w:sz w:val="22"/>
          <w:szCs w:val="22"/>
        </w:rPr>
        <w:t>Xavier Cortez</w:t>
      </w:r>
      <w:r w:rsidRPr="00605300">
        <w:rPr>
          <w:rFonts w:eastAsia="Times New Roman" w:cs="Times New Roman"/>
          <w:color w:val="333333"/>
          <w:sz w:val="22"/>
          <w:szCs w:val="22"/>
        </w:rPr>
        <w:t xml:space="preserve"> is [initial</w:t>
      </w:r>
      <w:r w:rsidR="00605300">
        <w:rPr>
          <w:rFonts w:eastAsia="Times New Roman" w:cs="Times New Roman"/>
          <w:color w:val="333333"/>
          <w:sz w:val="22"/>
          <w:szCs w:val="22"/>
        </w:rPr>
        <w:t xml:space="preserve"> </w:t>
      </w:r>
      <w:r w:rsidRPr="00605300">
        <w:rPr>
          <w:rFonts w:eastAsia="Times New Roman" w:cs="Times New Roman"/>
          <w:color w:val="333333"/>
          <w:sz w:val="22"/>
          <w:szCs w:val="22"/>
        </w:rPr>
        <w:t xml:space="preserve">observation], but </w:t>
      </w:r>
      <w:r w:rsidR="00B76069" w:rsidRPr="00605300">
        <w:rPr>
          <w:rFonts w:eastAsia="Times New Roman" w:cs="Times New Roman"/>
          <w:color w:val="333333"/>
          <w:sz w:val="22"/>
          <w:szCs w:val="22"/>
        </w:rPr>
        <w:t>looking at it more closely</w:t>
      </w:r>
      <w:r w:rsidRPr="00605300">
        <w:rPr>
          <w:rFonts w:eastAsia="Times New Roman" w:cs="Times New Roman"/>
          <w:color w:val="333333"/>
          <w:sz w:val="22"/>
          <w:szCs w:val="22"/>
        </w:rPr>
        <w:t xml:space="preserve"> reveals that [observation after pat</w:t>
      </w:r>
      <w:r w:rsidR="002C1AF6" w:rsidRPr="00605300">
        <w:rPr>
          <w:rFonts w:eastAsia="Times New Roman" w:cs="Times New Roman"/>
          <w:color w:val="333333"/>
          <w:sz w:val="22"/>
          <w:szCs w:val="22"/>
        </w:rPr>
        <w:t xml:space="preserve">ient </w:t>
      </w:r>
      <w:proofErr w:type="gramStart"/>
      <w:r w:rsidR="002C1AF6" w:rsidRPr="00605300">
        <w:rPr>
          <w:rFonts w:eastAsia="Times New Roman" w:cs="Times New Roman"/>
          <w:color w:val="333333"/>
          <w:sz w:val="22"/>
          <w:szCs w:val="22"/>
        </w:rPr>
        <w:t>looking</w:t>
      </w:r>
      <w:r w:rsidRPr="00605300">
        <w:rPr>
          <w:rFonts w:eastAsia="Times New Roman" w:cs="Times New Roman"/>
          <w:color w:val="333333"/>
          <w:sz w:val="22"/>
          <w:szCs w:val="22"/>
        </w:rPr>
        <w:t>]</w:t>
      </w:r>
      <w:r w:rsidR="002C1AF6" w:rsidRPr="00605300">
        <w:rPr>
          <w:rFonts w:eastAsia="Times New Roman" w:cs="Times New Roman"/>
          <w:color w:val="333333"/>
          <w:sz w:val="22"/>
          <w:szCs w:val="22"/>
        </w:rPr>
        <w:t>…</w:t>
      </w:r>
      <w:proofErr w:type="gramEnd"/>
      <w:r w:rsidRPr="00605300">
        <w:rPr>
          <w:rFonts w:eastAsia="Times New Roman" w:cs="Times New Roman"/>
          <w:color w:val="333333"/>
          <w:sz w:val="22"/>
          <w:szCs w:val="22"/>
        </w:rPr>
        <w:t xml:space="preserve"> </w:t>
      </w:r>
    </w:p>
    <w:p w14:paraId="50F5AF6D" w14:textId="77777777" w:rsidR="006F0361" w:rsidRPr="00E4069E" w:rsidRDefault="006F0361" w:rsidP="006F0361">
      <w:pPr>
        <w:pStyle w:val="ListParagraph"/>
        <w:rPr>
          <w:rFonts w:eastAsia="Times New Roman" w:cs="Times New Roman"/>
          <w:color w:val="333333"/>
          <w:sz w:val="16"/>
          <w:szCs w:val="16"/>
        </w:rPr>
      </w:pPr>
    </w:p>
    <w:p w14:paraId="605E8C2E" w14:textId="77777777" w:rsidR="00605300" w:rsidRDefault="00650B58" w:rsidP="00605300">
      <w:pPr>
        <w:ind w:firstLine="720"/>
        <w:rPr>
          <w:rFonts w:eastAsia="Times New Roman" w:cs="Times New Roman"/>
          <w:color w:val="333333"/>
          <w:sz w:val="22"/>
          <w:szCs w:val="22"/>
        </w:rPr>
      </w:pPr>
      <w:r w:rsidRPr="00605300">
        <w:rPr>
          <w:rFonts w:eastAsia="Times New Roman" w:cs="Times New Roman"/>
          <w:color w:val="333333"/>
          <w:sz w:val="22"/>
          <w:szCs w:val="22"/>
        </w:rPr>
        <w:t>The interaction of [observable feature of the work] and [another</w:t>
      </w:r>
      <w:r w:rsidR="00605300">
        <w:rPr>
          <w:rFonts w:eastAsia="Times New Roman" w:cs="Times New Roman"/>
          <w:color w:val="333333"/>
          <w:sz w:val="22"/>
          <w:szCs w:val="22"/>
        </w:rPr>
        <w:t xml:space="preserve"> </w:t>
      </w:r>
      <w:r w:rsidRPr="00605300">
        <w:rPr>
          <w:rFonts w:eastAsia="Times New Roman" w:cs="Times New Roman"/>
          <w:color w:val="333333"/>
          <w:sz w:val="22"/>
          <w:szCs w:val="22"/>
        </w:rPr>
        <w:t xml:space="preserve">observable feature of the </w:t>
      </w:r>
    </w:p>
    <w:p w14:paraId="4D3EEC31" w14:textId="2D0F5BB1" w:rsidR="00605300" w:rsidRDefault="00650B58" w:rsidP="00605300">
      <w:pPr>
        <w:ind w:firstLine="720"/>
        <w:rPr>
          <w:rFonts w:eastAsia="Times New Roman" w:cs="Times New Roman"/>
          <w:color w:val="333333"/>
          <w:sz w:val="22"/>
          <w:szCs w:val="22"/>
        </w:rPr>
      </w:pPr>
      <w:r w:rsidRPr="00605300">
        <w:rPr>
          <w:rFonts w:eastAsia="Times New Roman" w:cs="Times New Roman"/>
          <w:color w:val="333333"/>
          <w:sz w:val="22"/>
          <w:szCs w:val="22"/>
        </w:rPr>
        <w:t xml:space="preserve">work] </w:t>
      </w:r>
      <w:r w:rsidR="00076C63" w:rsidRPr="00605300">
        <w:rPr>
          <w:rFonts w:eastAsia="Times New Roman" w:cs="Times New Roman"/>
          <w:color w:val="333333"/>
          <w:sz w:val="22"/>
          <w:szCs w:val="22"/>
        </w:rPr>
        <w:t xml:space="preserve">in </w:t>
      </w:r>
      <w:r w:rsidR="002C1AF6" w:rsidRPr="00605300">
        <w:rPr>
          <w:rFonts w:eastAsia="Times New Roman" w:cs="Times New Roman"/>
          <w:color w:val="333333"/>
          <w:sz w:val="22"/>
          <w:szCs w:val="22"/>
        </w:rPr>
        <w:t>Brueghel’s</w:t>
      </w:r>
      <w:r w:rsidR="00076C63" w:rsidRPr="00605300">
        <w:rPr>
          <w:rFonts w:eastAsia="Times New Roman" w:cs="Times New Roman"/>
          <w:color w:val="333333"/>
          <w:sz w:val="22"/>
          <w:szCs w:val="22"/>
        </w:rPr>
        <w:t xml:space="preserve"> </w:t>
      </w:r>
      <w:r w:rsidR="002C1AF6" w:rsidRPr="00605300">
        <w:rPr>
          <w:rFonts w:eastAsia="Times New Roman" w:cs="Times New Roman"/>
          <w:color w:val="333333"/>
          <w:sz w:val="22"/>
          <w:szCs w:val="22"/>
        </w:rPr>
        <w:t>“Payment of the Tithe”</w:t>
      </w:r>
      <w:r w:rsidR="00076C63" w:rsidRPr="00605300">
        <w:rPr>
          <w:rFonts w:eastAsia="Times New Roman" w:cs="Times New Roman"/>
          <w:color w:val="333333"/>
          <w:sz w:val="22"/>
          <w:szCs w:val="22"/>
        </w:rPr>
        <w:t xml:space="preserve"> </w:t>
      </w:r>
      <w:proofErr w:type="gramStart"/>
      <w:r w:rsidRPr="00605300">
        <w:rPr>
          <w:rFonts w:eastAsia="Times New Roman" w:cs="Times New Roman"/>
          <w:color w:val="333333"/>
          <w:sz w:val="22"/>
          <w:szCs w:val="22"/>
        </w:rPr>
        <w:t>create</w:t>
      </w:r>
      <w:r w:rsidR="007D6298" w:rsidRPr="00605300">
        <w:rPr>
          <w:rFonts w:eastAsia="Times New Roman" w:cs="Times New Roman"/>
          <w:color w:val="333333"/>
          <w:sz w:val="22"/>
          <w:szCs w:val="22"/>
        </w:rPr>
        <w:t>[</w:t>
      </w:r>
      <w:proofErr w:type="gramEnd"/>
      <w:r w:rsidRPr="00605300">
        <w:rPr>
          <w:rFonts w:eastAsia="Times New Roman" w:cs="Times New Roman"/>
          <w:color w:val="333333"/>
          <w:sz w:val="22"/>
          <w:szCs w:val="22"/>
        </w:rPr>
        <w:t xml:space="preserve">effect on audience]. </w:t>
      </w:r>
    </w:p>
    <w:p w14:paraId="413D69E5" w14:textId="77777777" w:rsidR="00605300" w:rsidRPr="00605300" w:rsidRDefault="00605300" w:rsidP="00605300">
      <w:pPr>
        <w:ind w:firstLine="720"/>
        <w:rPr>
          <w:rFonts w:eastAsia="Times New Roman" w:cs="Times New Roman"/>
          <w:color w:val="333333"/>
          <w:sz w:val="22"/>
          <w:szCs w:val="22"/>
        </w:rPr>
      </w:pPr>
    </w:p>
    <w:p w14:paraId="5B1E1227" w14:textId="78E6AEAA" w:rsidR="00A802F5" w:rsidRPr="00605300" w:rsidRDefault="00B76069" w:rsidP="00A802F5">
      <w:pPr>
        <w:pStyle w:val="ListParagraph"/>
        <w:numPr>
          <w:ilvl w:val="0"/>
          <w:numId w:val="3"/>
        </w:numPr>
        <w:rPr>
          <w:rFonts w:eastAsia="Times New Roman" w:cs="Times New Roman"/>
          <w:color w:val="333333"/>
          <w:sz w:val="22"/>
          <w:szCs w:val="22"/>
        </w:rPr>
      </w:pPr>
      <w:r w:rsidRPr="00650B58">
        <w:rPr>
          <w:rFonts w:eastAsia="Times New Roman" w:cs="Times New Roman"/>
          <w:b/>
          <w:color w:val="333333"/>
          <w:sz w:val="22"/>
          <w:szCs w:val="22"/>
        </w:rPr>
        <w:t>Your essay should be interesting to read!</w:t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 </w:t>
      </w:r>
      <w:r w:rsidR="001A6ECC" w:rsidRPr="00650B58">
        <w:rPr>
          <w:rFonts w:eastAsia="Times New Roman" w:cs="Times New Roman"/>
          <w:color w:val="333333"/>
          <w:sz w:val="22"/>
          <w:szCs w:val="22"/>
        </w:rPr>
        <w:t>You may</w:t>
      </w:r>
      <w:r w:rsidRPr="00650B58">
        <w:rPr>
          <w:rFonts w:eastAsia="Times New Roman" w:cs="Times New Roman"/>
          <w:color w:val="333333"/>
          <w:sz w:val="22"/>
          <w:szCs w:val="22"/>
        </w:rPr>
        <w:t xml:space="preserve"> write in first-person or third-person. As part of your essay, you may write about the process of engaging with the art, your changing responses to it over time, and what puzzles/troubles/surprises/delights you about it. </w:t>
      </w:r>
    </w:p>
    <w:p w14:paraId="773AFFA3" w14:textId="77777777" w:rsidR="00605300" w:rsidRDefault="00605300">
      <w:pPr>
        <w:rPr>
          <w:b/>
          <w:sz w:val="22"/>
          <w:szCs w:val="22"/>
        </w:rPr>
      </w:pPr>
    </w:p>
    <w:p w14:paraId="48A23DC0" w14:textId="44905C96" w:rsidR="00CD193C" w:rsidRPr="00650B58" w:rsidRDefault="00CD193C">
      <w:pPr>
        <w:rPr>
          <w:b/>
          <w:sz w:val="22"/>
          <w:szCs w:val="22"/>
        </w:rPr>
      </w:pPr>
      <w:r w:rsidRPr="00650B58">
        <w:rPr>
          <w:b/>
          <w:sz w:val="22"/>
          <w:szCs w:val="22"/>
        </w:rPr>
        <w:t xml:space="preserve">MODEL ESSAYS: </w:t>
      </w:r>
    </w:p>
    <w:p w14:paraId="6D0A492F" w14:textId="6B3B450B" w:rsidR="0057572D" w:rsidRPr="00605300" w:rsidRDefault="0057572D">
      <w:pPr>
        <w:rPr>
          <w:b/>
          <w:sz w:val="22"/>
          <w:szCs w:val="22"/>
        </w:rPr>
      </w:pPr>
      <w:r w:rsidRPr="00605300">
        <w:rPr>
          <w:b/>
          <w:sz w:val="22"/>
          <w:szCs w:val="22"/>
        </w:rPr>
        <w:t>“Figures on the Rocks at the Edge of the Sea” by Reilly Kohn</w:t>
      </w:r>
    </w:p>
    <w:p w14:paraId="52EB65FE" w14:textId="38D73963" w:rsidR="009A4546" w:rsidRPr="00650B58" w:rsidRDefault="00907A5A">
      <w:pPr>
        <w:rPr>
          <w:sz w:val="22"/>
          <w:szCs w:val="22"/>
        </w:rPr>
      </w:pPr>
      <w:hyperlink r:id="rId9" w:history="1">
        <w:r w:rsidR="0057572D" w:rsidRPr="00650B58">
          <w:rPr>
            <w:rStyle w:val="Hyperlink"/>
            <w:sz w:val="22"/>
            <w:szCs w:val="22"/>
          </w:rPr>
          <w:t>https://freshwriting.nd.edu/volumes/2015/essays/figures-on-the-rocks-at-the-edge-of-the-sea</w:t>
        </w:r>
      </w:hyperlink>
    </w:p>
    <w:p w14:paraId="5EE3B464" w14:textId="2D6DF55F" w:rsidR="00605300" w:rsidRDefault="001A6ECC">
      <w:pPr>
        <w:rPr>
          <w:sz w:val="22"/>
          <w:szCs w:val="22"/>
        </w:rPr>
      </w:pPr>
      <w:r w:rsidRPr="00650B58">
        <w:rPr>
          <w:sz w:val="22"/>
          <w:szCs w:val="22"/>
        </w:rPr>
        <w:t>This essay is particularly notable for the author’s lively</w:t>
      </w:r>
      <w:r w:rsidR="007D6298">
        <w:rPr>
          <w:sz w:val="22"/>
          <w:szCs w:val="22"/>
        </w:rPr>
        <w:t>, even playful</w:t>
      </w:r>
      <w:r w:rsidRPr="00650B58">
        <w:rPr>
          <w:sz w:val="22"/>
          <w:szCs w:val="22"/>
        </w:rPr>
        <w:t xml:space="preserve"> voice and strong interpretive presence throughout the essay. </w:t>
      </w:r>
    </w:p>
    <w:p w14:paraId="7DB34B47" w14:textId="761A24B3" w:rsidR="0057572D" w:rsidRPr="00605300" w:rsidRDefault="0057572D">
      <w:pPr>
        <w:rPr>
          <w:b/>
          <w:sz w:val="22"/>
          <w:szCs w:val="22"/>
        </w:rPr>
      </w:pPr>
      <w:r w:rsidRPr="00605300">
        <w:rPr>
          <w:b/>
          <w:sz w:val="22"/>
          <w:szCs w:val="22"/>
        </w:rPr>
        <w:t>“Muller’s Play of Human Sorrow” by Kevin Wilkens</w:t>
      </w:r>
    </w:p>
    <w:p w14:paraId="33C154D8" w14:textId="2005EB23" w:rsidR="0057572D" w:rsidRPr="00650B58" w:rsidRDefault="00907A5A">
      <w:pPr>
        <w:rPr>
          <w:sz w:val="22"/>
          <w:szCs w:val="22"/>
        </w:rPr>
      </w:pPr>
      <w:hyperlink r:id="rId10" w:history="1">
        <w:r w:rsidR="0057572D" w:rsidRPr="00650B58">
          <w:rPr>
            <w:rStyle w:val="Hyperlink"/>
            <w:sz w:val="22"/>
            <w:szCs w:val="22"/>
          </w:rPr>
          <w:t>https://freshwriting.nd.edu/volumes/2014/essays/muller-s-play-of-human-sorry</w:t>
        </w:r>
      </w:hyperlink>
    </w:p>
    <w:p w14:paraId="5BEB00D6" w14:textId="6E6AF960" w:rsidR="001A6ECC" w:rsidRPr="00650B58" w:rsidRDefault="001A6ECC">
      <w:pPr>
        <w:rPr>
          <w:sz w:val="22"/>
          <w:szCs w:val="22"/>
        </w:rPr>
      </w:pPr>
      <w:r w:rsidRPr="00650B58">
        <w:rPr>
          <w:sz w:val="22"/>
          <w:szCs w:val="22"/>
        </w:rPr>
        <w:t xml:space="preserve">In this essay, the author does a particularly good job of pairing detailed description of the work with interpretive analysis.  </w:t>
      </w:r>
    </w:p>
    <w:sectPr w:rsidR="001A6ECC" w:rsidRPr="00650B58" w:rsidSect="004F3B9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Joanna Want" w:date="2019-06-26T18:29:00Z" w:initials="JW">
    <w:p w14:paraId="66DFBC99" w14:textId="201CFD3A" w:rsidR="000B5632" w:rsidRDefault="000B5632">
      <w:pPr>
        <w:pStyle w:val="CommentText"/>
      </w:pPr>
      <w:r>
        <w:rPr>
          <w:rStyle w:val="CommentReference"/>
        </w:rPr>
        <w:annotationRef/>
      </w:r>
      <w:r>
        <w:t xml:space="preserve">This is the assignment sheet for Angela </w:t>
      </w:r>
      <w:proofErr w:type="spellStart"/>
      <w:r>
        <w:t>Viducich’s</w:t>
      </w:r>
      <w:proofErr w:type="spellEnd"/>
      <w:r>
        <w:t xml:space="preserve"> piece “Lady Limitation.” 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DFBC99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377AD" w14:textId="77777777" w:rsidR="00907A5A" w:rsidRDefault="00907A5A" w:rsidP="007736F3">
      <w:r>
        <w:separator/>
      </w:r>
    </w:p>
  </w:endnote>
  <w:endnote w:type="continuationSeparator" w:id="0">
    <w:p w14:paraId="72820BE8" w14:textId="77777777" w:rsidR="00907A5A" w:rsidRDefault="00907A5A" w:rsidP="0077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99286" w14:textId="77777777" w:rsidR="00907A5A" w:rsidRDefault="00907A5A" w:rsidP="007736F3">
      <w:r>
        <w:separator/>
      </w:r>
    </w:p>
  </w:footnote>
  <w:footnote w:type="continuationSeparator" w:id="0">
    <w:p w14:paraId="3206B090" w14:textId="77777777" w:rsidR="00907A5A" w:rsidRDefault="00907A5A" w:rsidP="007736F3">
      <w:r>
        <w:continuationSeparator/>
      </w:r>
    </w:p>
  </w:footnote>
  <w:footnote w:id="1">
    <w:p w14:paraId="3EC3A2B5" w14:textId="17C4A42C" w:rsidR="004A2A91" w:rsidRPr="009F3DBE" w:rsidRDefault="004A2A91">
      <w:pPr>
        <w:pStyle w:val="FootnoteText"/>
        <w:rPr>
          <w:sz w:val="22"/>
          <w:szCs w:val="22"/>
        </w:rPr>
      </w:pPr>
      <w:r w:rsidRPr="009F3DBE">
        <w:rPr>
          <w:rStyle w:val="FootnoteReference"/>
          <w:sz w:val="22"/>
          <w:szCs w:val="22"/>
        </w:rPr>
        <w:footnoteRef/>
      </w:r>
      <w:r w:rsidRPr="009F3DBE">
        <w:rPr>
          <w:sz w:val="22"/>
          <w:szCs w:val="22"/>
        </w:rPr>
        <w:t xml:space="preserve"> https://harvardmagazine.com/2013/11/the-power-of-patience</w:t>
      </w:r>
    </w:p>
  </w:footnote>
  <w:footnote w:id="2">
    <w:p w14:paraId="1B472FB0" w14:textId="2D905D46" w:rsidR="006F0361" w:rsidRDefault="006F0361">
      <w:pPr>
        <w:pStyle w:val="FootnoteText"/>
      </w:pPr>
      <w:r w:rsidRPr="009F3DBE">
        <w:rPr>
          <w:rStyle w:val="FootnoteReference"/>
          <w:sz w:val="22"/>
          <w:szCs w:val="22"/>
        </w:rPr>
        <w:footnoteRef/>
      </w:r>
      <w:r w:rsidRPr="009F3DBE">
        <w:rPr>
          <w:sz w:val="22"/>
          <w:szCs w:val="22"/>
        </w:rPr>
        <w:t xml:space="preserve"> I am borrowing language directly from the</w:t>
      </w:r>
      <w:r w:rsidR="007D6298" w:rsidRPr="009F3DBE">
        <w:rPr>
          <w:sz w:val="22"/>
          <w:szCs w:val="22"/>
        </w:rPr>
        <w:t xml:space="preserve"> </w:t>
      </w:r>
      <w:proofErr w:type="spellStart"/>
      <w:r w:rsidR="007D6298" w:rsidRPr="009F3DBE">
        <w:rPr>
          <w:sz w:val="22"/>
          <w:szCs w:val="22"/>
        </w:rPr>
        <w:t>Snite</w:t>
      </w:r>
      <w:proofErr w:type="spellEnd"/>
      <w:r w:rsidR="007D6298" w:rsidRPr="009F3DBE">
        <w:rPr>
          <w:sz w:val="22"/>
          <w:szCs w:val="22"/>
        </w:rPr>
        <w:t xml:space="preserve"> Museum of Art writing</w:t>
      </w:r>
      <w:r w:rsidRPr="009F3DBE">
        <w:rPr>
          <w:sz w:val="22"/>
          <w:szCs w:val="22"/>
        </w:rPr>
        <w:t xml:space="preserve"> </w:t>
      </w:r>
      <w:hyperlink r:id="rId1" w:history="1">
        <w:r w:rsidRPr="009F3DBE">
          <w:rPr>
            <w:rStyle w:val="Hyperlink"/>
            <w:sz w:val="22"/>
            <w:szCs w:val="22"/>
          </w:rPr>
          <w:t>contest guidelines</w:t>
        </w:r>
      </w:hyperlink>
      <w:r w:rsidRPr="009F3DBE">
        <w:rPr>
          <w:sz w:val="22"/>
          <w:szCs w:val="22"/>
        </w:rPr>
        <w:t>, which I encourage you to read.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E03AD" w14:textId="75E5C745" w:rsidR="007736F3" w:rsidRDefault="00605300">
    <w:pPr>
      <w:pStyle w:val="Header"/>
    </w:pPr>
    <w:r>
      <w:t>Joanna Want, jwant@nd.edu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41D3"/>
    <w:multiLevelType w:val="hybridMultilevel"/>
    <w:tmpl w:val="030AD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C17D5"/>
    <w:multiLevelType w:val="multilevel"/>
    <w:tmpl w:val="D8EA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04929"/>
    <w:multiLevelType w:val="hybridMultilevel"/>
    <w:tmpl w:val="CDFE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anna Want">
    <w15:presenceInfo w15:providerId="None" w15:userId="Joanna Wa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F3"/>
    <w:rsid w:val="0001500A"/>
    <w:rsid w:val="00076C63"/>
    <w:rsid w:val="000B5632"/>
    <w:rsid w:val="000F1E4D"/>
    <w:rsid w:val="00113E90"/>
    <w:rsid w:val="0017183F"/>
    <w:rsid w:val="001930A8"/>
    <w:rsid w:val="001A6ECC"/>
    <w:rsid w:val="002071E5"/>
    <w:rsid w:val="002C1AF6"/>
    <w:rsid w:val="003E3412"/>
    <w:rsid w:val="00453824"/>
    <w:rsid w:val="0046195C"/>
    <w:rsid w:val="00477BA9"/>
    <w:rsid w:val="00484601"/>
    <w:rsid w:val="004A2A91"/>
    <w:rsid w:val="004B730E"/>
    <w:rsid w:val="004E0956"/>
    <w:rsid w:val="004F3B9A"/>
    <w:rsid w:val="0055759A"/>
    <w:rsid w:val="0057572D"/>
    <w:rsid w:val="005E1D29"/>
    <w:rsid w:val="00605300"/>
    <w:rsid w:val="00636013"/>
    <w:rsid w:val="00650B58"/>
    <w:rsid w:val="006B1333"/>
    <w:rsid w:val="006C1D38"/>
    <w:rsid w:val="006F0361"/>
    <w:rsid w:val="006F73BE"/>
    <w:rsid w:val="007659D4"/>
    <w:rsid w:val="00766555"/>
    <w:rsid w:val="007736F3"/>
    <w:rsid w:val="007A2E7C"/>
    <w:rsid w:val="007D6298"/>
    <w:rsid w:val="007E55D4"/>
    <w:rsid w:val="00837A5E"/>
    <w:rsid w:val="008C3D9F"/>
    <w:rsid w:val="00907A5A"/>
    <w:rsid w:val="00913A60"/>
    <w:rsid w:val="00931FFF"/>
    <w:rsid w:val="009A4546"/>
    <w:rsid w:val="009F3DBE"/>
    <w:rsid w:val="00A11208"/>
    <w:rsid w:val="00A25D31"/>
    <w:rsid w:val="00A34620"/>
    <w:rsid w:val="00A47DA8"/>
    <w:rsid w:val="00A51D19"/>
    <w:rsid w:val="00A67DEA"/>
    <w:rsid w:val="00A76A67"/>
    <w:rsid w:val="00A802F5"/>
    <w:rsid w:val="00A90B4E"/>
    <w:rsid w:val="00AC0EA3"/>
    <w:rsid w:val="00B76069"/>
    <w:rsid w:val="00BD6C09"/>
    <w:rsid w:val="00C00CE0"/>
    <w:rsid w:val="00C20212"/>
    <w:rsid w:val="00CD193C"/>
    <w:rsid w:val="00D416C4"/>
    <w:rsid w:val="00D85433"/>
    <w:rsid w:val="00DC328E"/>
    <w:rsid w:val="00DD751E"/>
    <w:rsid w:val="00E4069E"/>
    <w:rsid w:val="00E44E11"/>
    <w:rsid w:val="00ED3725"/>
    <w:rsid w:val="00F77F77"/>
    <w:rsid w:val="00FC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A0A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6F3"/>
  </w:style>
  <w:style w:type="paragraph" w:styleId="Footer">
    <w:name w:val="footer"/>
    <w:basedOn w:val="Normal"/>
    <w:link w:val="FooterChar"/>
    <w:uiPriority w:val="99"/>
    <w:unhideWhenUsed/>
    <w:rsid w:val="00773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6F3"/>
  </w:style>
  <w:style w:type="paragraph" w:customStyle="1" w:styleId="p1">
    <w:name w:val="p1"/>
    <w:basedOn w:val="Normal"/>
    <w:rsid w:val="009A4546"/>
    <w:rPr>
      <w:rFonts w:ascii="Helvetica" w:hAnsi="Helvetica" w:cs="Times New Roman"/>
      <w:color w:val="454545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572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A2A91"/>
  </w:style>
  <w:style w:type="character" w:customStyle="1" w:styleId="FootnoteTextChar">
    <w:name w:val="Footnote Text Char"/>
    <w:basedOn w:val="DefaultParagraphFont"/>
    <w:link w:val="FootnoteText"/>
    <w:uiPriority w:val="99"/>
    <w:rsid w:val="004A2A91"/>
  </w:style>
  <w:style w:type="character" w:styleId="FootnoteReference">
    <w:name w:val="footnote reference"/>
    <w:basedOn w:val="DefaultParagraphFont"/>
    <w:uiPriority w:val="99"/>
    <w:unhideWhenUsed/>
    <w:rsid w:val="004A2A9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2021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20212"/>
    <w:rPr>
      <w:i/>
      <w:iCs/>
    </w:rPr>
  </w:style>
  <w:style w:type="paragraph" w:styleId="ListParagraph">
    <w:name w:val="List Paragraph"/>
    <w:basedOn w:val="Normal"/>
    <w:uiPriority w:val="34"/>
    <w:qFormat/>
    <w:rsid w:val="00A67DEA"/>
    <w:pPr>
      <w:ind w:left="720"/>
      <w:contextualSpacing/>
    </w:pPr>
  </w:style>
  <w:style w:type="table" w:styleId="TableGrid">
    <w:name w:val="Table Grid"/>
    <w:basedOn w:val="TableNormal"/>
    <w:uiPriority w:val="39"/>
    <w:rsid w:val="00484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A346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56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63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6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63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6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63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microsoft.com/office/2011/relationships/people" Target="peop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openxmlformats.org/officeDocument/2006/relationships/hyperlink" Target="https://freshwriting.nd.edu/volumes/2015/essays/figures-on-the-rocks-at-the-edge-of-the-sea" TargetMode="External"/><Relationship Id="rId10" Type="http://schemas.openxmlformats.org/officeDocument/2006/relationships/hyperlink" Target="https://freshwriting.nd.edu/volumes/2014/essays/muller-s-play-of-human-sorr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ritingrhetoric.nd.edu/essay-competitions/snite-museum-of-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2768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Want</dc:creator>
  <cp:keywords/>
  <dc:description/>
  <cp:lastModifiedBy>Joanna Want</cp:lastModifiedBy>
  <cp:revision>3</cp:revision>
  <cp:lastPrinted>2018-02-13T13:55:00Z</cp:lastPrinted>
  <dcterms:created xsi:type="dcterms:W3CDTF">2019-06-26T22:15:00Z</dcterms:created>
  <dcterms:modified xsi:type="dcterms:W3CDTF">2019-06-26T22:29:00Z</dcterms:modified>
</cp:coreProperties>
</file>